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D23C" w14:textId="77777777" w:rsidR="00316B08" w:rsidRDefault="00316B08" w:rsidP="00BF356E">
      <w:pPr>
        <w:autoSpaceDE w:val="0"/>
        <w:autoSpaceDN w:val="0"/>
        <w:adjustRightInd w:val="0"/>
        <w:spacing w:before="0" w:after="0" w:line="276" w:lineRule="auto"/>
        <w:ind w:left="0" w:firstLine="720"/>
        <w:jc w:val="center"/>
        <w:rPr>
          <w:rFonts w:ascii="GHEA Grapalat" w:eastAsia="Times New Roman" w:hAnsi="GHEA Grapalat"/>
          <w:b/>
          <w:noProof/>
          <w:sz w:val="28"/>
          <w:szCs w:val="28"/>
          <w:lang w:eastAsia="ru-RU"/>
        </w:rPr>
      </w:pPr>
      <w:r w:rsidRPr="00316B08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>Reference</w:t>
      </w:r>
    </w:p>
    <w:p w14:paraId="2375CFD2" w14:textId="6EEB5105" w:rsidR="00250C72" w:rsidRDefault="00316B08" w:rsidP="00BF356E">
      <w:pPr>
        <w:autoSpaceDE w:val="0"/>
        <w:autoSpaceDN w:val="0"/>
        <w:adjustRightInd w:val="0"/>
        <w:spacing w:before="0" w:after="0" w:line="276" w:lineRule="auto"/>
        <w:ind w:left="0" w:firstLine="720"/>
        <w:jc w:val="center"/>
        <w:rPr>
          <w:rFonts w:ascii="GHEA Grapalat" w:eastAsia="Times New Roman" w:hAnsi="GHEA Grapalat"/>
          <w:b/>
          <w:noProof/>
          <w:sz w:val="28"/>
          <w:szCs w:val="28"/>
          <w:lang w:eastAsia="ru-RU"/>
        </w:rPr>
      </w:pPr>
      <w:r w:rsidRPr="00316B08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 xml:space="preserve">on </w:t>
      </w:r>
      <w:r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>organiz</w:t>
      </w:r>
      <w:r>
        <w:rPr>
          <w:rFonts w:ascii="GHEA Grapalat" w:eastAsia="Times New Roman" w:hAnsi="GHEA Grapalat"/>
          <w:b/>
          <w:noProof/>
          <w:sz w:val="28"/>
          <w:szCs w:val="28"/>
          <w:lang w:eastAsia="ru-RU"/>
        </w:rPr>
        <w:t xml:space="preserve">ing </w:t>
      </w:r>
      <w:r w:rsidRPr="00316B08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 xml:space="preserve">procedure for </w:t>
      </w:r>
      <w:r w:rsidR="004165D6">
        <w:rPr>
          <w:rFonts w:ascii="GHEA Grapalat" w:eastAsia="Times New Roman" w:hAnsi="GHEA Grapalat"/>
          <w:b/>
          <w:noProof/>
          <w:sz w:val="28"/>
          <w:szCs w:val="28"/>
          <w:lang w:eastAsia="ru-RU"/>
        </w:rPr>
        <w:t>procuring</w:t>
      </w:r>
      <w:r w:rsidRPr="00316B08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 xml:space="preserve"> consulting services </w:t>
      </w:r>
      <w:r>
        <w:rPr>
          <w:rFonts w:ascii="GHEA Grapalat" w:eastAsia="Times New Roman" w:hAnsi="GHEA Grapalat"/>
          <w:b/>
          <w:noProof/>
          <w:sz w:val="28"/>
          <w:szCs w:val="28"/>
          <w:lang w:eastAsia="ru-RU"/>
        </w:rPr>
        <w:t>in accordance</w:t>
      </w:r>
      <w:r w:rsidRPr="00316B08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8"/>
          <w:szCs w:val="28"/>
          <w:lang w:eastAsia="ru-RU"/>
        </w:rPr>
        <w:t xml:space="preserve">with </w:t>
      </w:r>
      <w:r w:rsidRPr="00316B08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>the legislation of the Republic of Armenia</w:t>
      </w:r>
    </w:p>
    <w:p w14:paraId="7B92B2B0" w14:textId="77777777" w:rsidR="00672A3E" w:rsidRPr="00672A3E" w:rsidRDefault="00672A3E" w:rsidP="00316B08">
      <w:pPr>
        <w:autoSpaceDE w:val="0"/>
        <w:autoSpaceDN w:val="0"/>
        <w:adjustRightInd w:val="0"/>
        <w:spacing w:before="0" w:after="0" w:line="360" w:lineRule="auto"/>
        <w:ind w:left="0" w:firstLine="720"/>
        <w:jc w:val="center"/>
        <w:rPr>
          <w:rFonts w:ascii="GHEA Grapalat" w:eastAsia="Times New Roman" w:hAnsi="GHEA Grapalat"/>
          <w:b/>
          <w:noProof/>
          <w:sz w:val="28"/>
          <w:szCs w:val="28"/>
          <w:lang w:eastAsia="ru-RU"/>
        </w:rPr>
      </w:pPr>
    </w:p>
    <w:p w14:paraId="26C9FD5E" w14:textId="6FB09863" w:rsidR="00500C5B" w:rsidRPr="00E01EC1" w:rsidRDefault="004165D6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4165D6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According to current regulations, consulting services are procured through a two-stage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tender</w:t>
      </w:r>
      <w:r w:rsidRPr="004165D6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="008827D7">
        <w:rPr>
          <w:rFonts w:ascii="GHEA Grapalat" w:eastAsia="Times New Roman" w:hAnsi="GHEA Grapalat"/>
          <w:noProof/>
          <w:sz w:val="24"/>
          <w:szCs w:val="24"/>
          <w:lang w:eastAsia="ru-RU"/>
        </w:rPr>
        <w:t>by</w:t>
      </w:r>
      <w:r w:rsidRPr="004165D6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organiz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ing</w:t>
      </w:r>
      <w:r w:rsidR="00CB1ECD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a pre</w:t>
      </w:r>
      <w:r w:rsidRPr="004165D6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qualification procedure.</w:t>
      </w:r>
    </w:p>
    <w:p w14:paraId="291E82E8" w14:textId="77777777" w:rsidR="000F0C2E" w:rsidRPr="00E01EC1" w:rsidRDefault="000F0C2E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</w:pPr>
    </w:p>
    <w:p w14:paraId="372DFD09" w14:textId="2119D9EE" w:rsidR="000F0C2E" w:rsidRPr="00E01EC1" w:rsidRDefault="009B4BDC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eastAsia="ru-RU"/>
        </w:rPr>
        <w:t xml:space="preserve">Pre-qualification procedure </w:t>
      </w:r>
    </w:p>
    <w:p w14:paraId="6A36E682" w14:textId="2CA3FBE5" w:rsidR="002A6323" w:rsidRPr="00E01EC1" w:rsidRDefault="00917E49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917E49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To organize the prequalification procedure, the announcement is published in the official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bulletin of the procurement </w:t>
      </w:r>
      <w:r w:rsidR="008827D7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official website 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on </w:t>
      </w:r>
      <w:hyperlink r:id="rId5" w:history="1">
        <w:r w:rsidRPr="008E2DD6">
          <w:rPr>
            <w:rStyle w:val="Hyperlink"/>
            <w:rFonts w:ascii="GHEA Grapalat" w:eastAsia="Times New Roman" w:hAnsi="GHEA Grapalat"/>
            <w:noProof/>
            <w:sz w:val="24"/>
            <w:szCs w:val="24"/>
            <w:lang w:val="en" w:eastAsia="ru-RU"/>
          </w:rPr>
          <w:t>www.procurement.am</w:t>
        </w:r>
      </w:hyperlink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</w:t>
      </w:r>
      <w:r w:rsidRPr="00917E49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in Armenian, Russian and English languages.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</w:t>
      </w:r>
      <w:r w:rsidR="009B5EDC" w:rsidRPr="009B5EDC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Any person may participate in the procedur</w:t>
      </w:r>
      <w:r w:rsidR="009B5EDC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e, regardless of being resident</w:t>
      </w:r>
      <w:r w:rsidR="009B5EDC" w:rsidRPr="009B5EDC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and non</w:t>
      </w:r>
      <w:r w:rsidR="009B5EDC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-resident.</w:t>
      </w:r>
    </w:p>
    <w:p w14:paraId="0F9802D1" w14:textId="69909E1E" w:rsidR="0062190D" w:rsidRPr="00E01EC1" w:rsidRDefault="009B5EDC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9B5EDC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The prequalification procedure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announcement</w:t>
      </w:r>
      <w:r w:rsidRPr="009B5EDC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contain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s</w:t>
      </w:r>
      <w:r w:rsidRPr="009B5EDC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information on the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bid</w:t>
      </w:r>
      <w:r w:rsidRPr="009B5EDC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deadlines, venue, qualification criteria for inclusion in the prequalified list and the documents required for its evaluation.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 Bids</w:t>
      </w:r>
      <w:r w:rsidRPr="009B5EDC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 can be submitted either in a sealed envelope or in electronic form in Armenian, Russian or English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  <w:r w:rsidRPr="009B5EDC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 </w:t>
      </w:r>
      <w:r w:rsidRPr="009B5EDC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Interested parties may request and re</w:t>
      </w:r>
      <w:r w:rsidR="00672A3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ceive clarifications on the pre</w:t>
      </w:r>
      <w:r w:rsidRPr="009B5EDC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qualification 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announcement,</w:t>
      </w:r>
      <w:r w:rsidRPr="009B5EDC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if necessary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.</w:t>
      </w:r>
    </w:p>
    <w:p w14:paraId="5BB1F37C" w14:textId="139CB048" w:rsidR="0062190D" w:rsidRPr="00E01EC1" w:rsidRDefault="00EF5FE3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F5FE3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The deadline for </w:t>
      </w:r>
      <w:r w:rsidR="00672A3E" w:rsidRPr="00EF5FE3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bids </w:t>
      </w:r>
      <w:r w:rsidRPr="00EF5FE3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subm</w:t>
      </w:r>
      <w:r w:rsidR="00E958E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ission should not be less than 4</w:t>
      </w:r>
      <w:r w:rsidR="000B4940">
        <w:rPr>
          <w:rFonts w:ascii="GHEA Grapalat" w:eastAsia="Times New Roman" w:hAnsi="GHEA Grapalat"/>
          <w:noProof/>
          <w:sz w:val="24"/>
          <w:szCs w:val="24"/>
          <w:lang w:eastAsia="ru-RU"/>
        </w:rPr>
        <w:t>0</w:t>
      </w:r>
      <w:r w:rsidRPr="00EF5FE3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calendar days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  <w:r w:rsidR="0062190D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</w:p>
    <w:p w14:paraId="66EB4075" w14:textId="22B5DFE7" w:rsidR="00C65708" w:rsidRPr="00E01EC1" w:rsidRDefault="0000263D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By the decision of the Committee, the</w:t>
      </w:r>
      <w:r w:rsidR="00672A3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pre</w:t>
      </w:r>
      <w:r w:rsidRPr="0000263D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qualification announcement may, in addition to publication, be provide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d to </w:t>
      </w:r>
      <w:r w:rsidRPr="0000263D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persons working in the </w:t>
      </w:r>
      <w:r w:rsidR="00672A3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sphere</w:t>
      </w:r>
      <w:r w:rsidRPr="0000263D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via e-mail</w:t>
      </w:r>
      <w:r w:rsidRPr="0000263D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.</w:t>
      </w:r>
    </w:p>
    <w:p w14:paraId="54B66833" w14:textId="142E9EB2" w:rsidR="00C65708" w:rsidRPr="00E01EC1" w:rsidRDefault="00A17885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Bids</w:t>
      </w:r>
      <w:r w:rsidRPr="00A17885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for participation in the prequalification procedure shal</w:t>
      </w: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l be evaluated by the Comm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ittee</w:t>
      </w:r>
      <w:r w:rsidRPr="00A17885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and if any inconsistencies are identified, the participant shall be given the opportunity to rectify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them</w:t>
      </w:r>
      <w:r w:rsidRPr="00A17885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.</w:t>
      </w:r>
    </w:p>
    <w:p w14:paraId="5BAF043F" w14:textId="61F8A5E0" w:rsidR="00C65708" w:rsidRPr="00E01EC1" w:rsidRDefault="00FB31A6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FB31A6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The list of prequalified bidders includes those whose bids have been evaluated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as compliant</w:t>
      </w:r>
      <w:r w:rsidRPr="00FB31A6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with the requirements of the announcement, including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in terms of </w:t>
      </w:r>
      <w:r w:rsidRPr="00FB31A6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qualification criteria.</w:t>
      </w:r>
    </w:p>
    <w:p w14:paraId="5487E49A" w14:textId="6F66BC62" w:rsidR="00C65708" w:rsidRPr="00E01EC1" w:rsidRDefault="00B67A61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B67A6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After compiling the list of prequalified bidders, the commission approves the first stage invitation to tender, identifying the features of the procurement subject as a preliminary version of the performance or functional descriptions.</w:t>
      </w:r>
    </w:p>
    <w:p w14:paraId="0C01EFFC" w14:textId="07CFB89F" w:rsidR="00C65708" w:rsidRPr="00E01EC1" w:rsidRDefault="009B1B17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Only pre</w:t>
      </w:r>
      <w:r w:rsidR="003F411A" w:rsidRPr="003F411A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qualified bidders can submit bids</w:t>
      </w:r>
      <w:r w:rsidR="003F411A"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</w:p>
    <w:p w14:paraId="612A99F8" w14:textId="1C20B463" w:rsidR="00C76073" w:rsidRPr="00E01EC1" w:rsidRDefault="003F411A" w:rsidP="009B1B1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eastAsia="ru-RU"/>
        </w:rPr>
        <w:lastRenderedPageBreak/>
        <w:t xml:space="preserve">First stage of tender </w:t>
      </w:r>
    </w:p>
    <w:p w14:paraId="7C59BC76" w14:textId="637C611F" w:rsidR="00C65708" w:rsidRPr="002B059E" w:rsidRDefault="003F411A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Prequalified bidders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i</w:t>
      </w:r>
      <w:r w:rsidRPr="003F411A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n paper or in electronic form (Armenian, Russian or English) submit their bids </w:t>
      </w:r>
      <w:r w:rsidR="00B77197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(bid description) </w:t>
      </w:r>
      <w:r w:rsidRPr="003F411A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on performance or functional descriptions of the procurement subject</w:t>
      </w:r>
      <w:r w:rsidR="00876A6D"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  <w:r w:rsidRPr="003F411A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="002B059E" w:rsidRPr="002B059E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The Bidder</w:t>
      </w:r>
      <w:r w:rsidR="002B059E">
        <w:rPr>
          <w:rFonts w:ascii="GHEA Grapalat" w:eastAsia="Times New Roman" w:hAnsi="GHEA Grapalat"/>
          <w:noProof/>
          <w:sz w:val="24"/>
          <w:szCs w:val="24"/>
          <w:lang w:eastAsia="ru-RU"/>
        </w:rPr>
        <w:t>,</w:t>
      </w:r>
      <w:r w:rsidR="002B059E" w:rsidRPr="002B059E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="002B059E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in order to subtstantiate the bid, </w:t>
      </w:r>
      <w:r w:rsidR="002B059E" w:rsidRPr="002B059E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may submit supporting documents, information, conclusions and other materials on the basis of the first stage bid.</w:t>
      </w:r>
      <w:r w:rsidR="002B059E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 </w:t>
      </w:r>
      <w:r w:rsidR="002B059E" w:rsidRPr="002B059E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The deadline for submission of bids should not be less than </w:t>
      </w:r>
      <w:r w:rsidR="00270BD1">
        <w:rPr>
          <w:rFonts w:ascii="GHEA Grapalat" w:eastAsia="Times New Roman" w:hAnsi="GHEA Grapalat"/>
          <w:noProof/>
          <w:sz w:val="24"/>
          <w:szCs w:val="24"/>
          <w:lang w:eastAsia="ru-RU"/>
        </w:rPr>
        <w:t>40</w:t>
      </w:r>
      <w:bookmarkStart w:id="0" w:name="_GoBack"/>
      <w:bookmarkEnd w:id="0"/>
      <w:r w:rsidR="002B059E" w:rsidRPr="002B059E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 calendar days</w:t>
      </w:r>
      <w:r w:rsidR="002B059E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. </w:t>
      </w:r>
    </w:p>
    <w:p w14:paraId="7B56D146" w14:textId="20ECABEE" w:rsidR="00C65708" w:rsidRPr="00E01EC1" w:rsidRDefault="00805446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805446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After the deadline for submitting </w:t>
      </w:r>
      <w:r w:rsidR="0068589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bids, the committee invites all pre</w:t>
      </w:r>
      <w:r w:rsidRPr="00805446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qualified participants to concurrent negotiations.</w:t>
      </w:r>
      <w:r w:rsidRPr="00805446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="0068589E" w:rsidRPr="0068589E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Separate negotiations with the participant who submitted the </w:t>
      </w:r>
      <w:r w:rsidR="0068589E">
        <w:rPr>
          <w:rFonts w:ascii="GHEA Grapalat" w:eastAsia="Times New Roman" w:hAnsi="GHEA Grapalat"/>
          <w:noProof/>
          <w:sz w:val="24"/>
          <w:szCs w:val="24"/>
          <w:lang w:eastAsia="ru-RU"/>
        </w:rPr>
        <w:t>description</w:t>
      </w:r>
      <w:r w:rsidR="0068589E" w:rsidRPr="0068589E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proposal are </w:t>
      </w:r>
      <w:r w:rsidR="0068589E" w:rsidRPr="0068589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prohibited. As a result of </w:t>
      </w:r>
      <w:r w:rsidR="0068589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n</w:t>
      </w:r>
      <w:r w:rsidR="0068589E" w:rsidRPr="0068589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egotiations </w:t>
      </w:r>
      <w:r w:rsidR="00673FDB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the </w:t>
      </w:r>
      <w:r w:rsidR="0068589E" w:rsidRPr="0068589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final descriptions of the performance or functional description of the procurement subject </w:t>
      </w:r>
      <w:r w:rsidR="00673FDB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is approved </w:t>
      </w:r>
      <w:r w:rsidR="0068589E" w:rsidRPr="0068589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with sufficient accuracy, enabling participants and </w:t>
      </w:r>
      <w:r w:rsidR="00673FDB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contracting authority</w:t>
      </w:r>
      <w:r w:rsidR="0068589E" w:rsidRPr="0068589E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to understand the subject matter of the contract accurately.</w:t>
      </w:r>
      <w:r w:rsidR="0068589E" w:rsidRPr="0068589E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="0068589E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 </w:t>
      </w:r>
    </w:p>
    <w:p w14:paraId="46EA7245" w14:textId="77777777" w:rsidR="009B1B17" w:rsidRDefault="009B1B17" w:rsidP="000F0C2E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eastAsia="ru-RU"/>
        </w:rPr>
      </w:pPr>
    </w:p>
    <w:p w14:paraId="6DF762F3" w14:textId="1E7768CA" w:rsidR="009D2E69" w:rsidRPr="00E01EC1" w:rsidRDefault="00A224B3" w:rsidP="000F0C2E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/>
          <w:b/>
          <w:bCs/>
          <w:noProof/>
          <w:sz w:val="24"/>
          <w:szCs w:val="24"/>
          <w:u w:val="single"/>
          <w:lang w:eastAsia="ru-RU"/>
        </w:rPr>
        <w:t xml:space="preserve">Second stage of tender </w:t>
      </w:r>
    </w:p>
    <w:p w14:paraId="584855AA" w14:textId="23D01CC8" w:rsidR="00C65708" w:rsidRPr="00E01EC1" w:rsidRDefault="006F5EF8" w:rsidP="000F0C2E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6F5EF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After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having</w:t>
      </w:r>
      <w:r w:rsidRPr="006F5EF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the fi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nal descriptions, the committee</w:t>
      </w:r>
      <w:r w:rsidRPr="006F5EF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will approve the second stage invitation</w:t>
      </w:r>
      <w:r w:rsidR="00323B61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, which will be sent to all pre</w:t>
      </w:r>
      <w:r w:rsidRPr="006F5EF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qualified participants.</w:t>
      </w:r>
      <w:r w:rsidRPr="006F5EF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The deadline for submitting applications for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stage </w:t>
      </w:r>
      <w:r w:rsidR="00323B61">
        <w:rPr>
          <w:rFonts w:ascii="GHEA Grapalat" w:eastAsia="Times New Roman" w:hAnsi="GHEA Grapalat"/>
          <w:noProof/>
          <w:sz w:val="24"/>
          <w:szCs w:val="24"/>
          <w:lang w:eastAsia="ru-RU"/>
        </w:rPr>
        <w:t>two</w:t>
      </w:r>
      <w:r w:rsidRPr="006F5EF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must not be less than twenty calendar days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  <w:r w:rsidRPr="006F5EF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</w:p>
    <w:p w14:paraId="383066D8" w14:textId="616ED355" w:rsidR="009D2E69" w:rsidRPr="00E01EC1" w:rsidRDefault="00B06628" w:rsidP="009D2E69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B0662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The 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bid</w:t>
      </w:r>
      <w:r w:rsidRPr="00B0662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is in paper form in a 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sealed</w:t>
      </w:r>
      <w:r w:rsidRPr="00B0662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envelope (Armenian, Russian or English)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. I</w:t>
      </w:r>
      <w:r w:rsidRPr="00B0662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n addition, the bid to be placed in the 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mentioned</w:t>
      </w:r>
      <w:r w:rsidRPr="00B0662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envelope shall be submitted in a sealed, </w:t>
      </w:r>
      <w:r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glued</w:t>
      </w:r>
      <w:r w:rsidRPr="00B06628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 xml:space="preserve"> envelope.</w:t>
      </w:r>
    </w:p>
    <w:p w14:paraId="3827F14A" w14:textId="35219AB4" w:rsidR="005235EF" w:rsidRPr="00E01EC1" w:rsidRDefault="00036F83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In addition to price </w:t>
      </w:r>
      <w:r w:rsidR="00323B61">
        <w:rPr>
          <w:rFonts w:ascii="GHEA Grapalat" w:eastAsia="Times New Roman" w:hAnsi="GHEA Grapalat"/>
          <w:noProof/>
          <w:sz w:val="24"/>
          <w:szCs w:val="24"/>
          <w:lang w:eastAsia="ru-RU"/>
        </w:rPr>
        <w:t>quotation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 the bid also includes d</w:t>
      </w:r>
      <w:r w:rsidRPr="00036F83">
        <w:rPr>
          <w:rFonts w:ascii="GHEA Grapalat" w:eastAsia="Times New Roman" w:hAnsi="GHEA Grapalat"/>
          <w:noProof/>
          <w:sz w:val="24"/>
          <w:szCs w:val="24"/>
          <w:lang w:eastAsia="ru-RU"/>
        </w:rPr>
        <w:t>ocuments and technical proposal supporting the qualification of the participant to the qualification criteria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</w:p>
    <w:p w14:paraId="0E03F7FB" w14:textId="04C406D3" w:rsidR="005235EF" w:rsidRPr="00E01EC1" w:rsidRDefault="00153A84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153A84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Envelopes containing price </w:t>
      </w:r>
      <w:r w:rsidR="00323B61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quotation </w:t>
      </w: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will not be opened after bid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open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ing.</w:t>
      </w:r>
    </w:p>
    <w:p w14:paraId="5BBA872F" w14:textId="5F59F88B" w:rsidR="00C65708" w:rsidRPr="00E01EC1" w:rsidRDefault="00605F3A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B</w:t>
      </w:r>
      <w:r w:rsidRPr="00605F3A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est technical propos</w:t>
      </w: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al submitted by the Participant</w:t>
      </w:r>
      <w:r w:rsidRPr="00605F3A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(s)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bid in opened bid </w:t>
      </w:r>
      <w:r w:rsidRPr="00605F3A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shall be scored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maximum of </w:t>
      </w:r>
      <w:r w:rsidRPr="00605F3A">
        <w:rPr>
          <w:rFonts w:ascii="GHEA Grapalat" w:eastAsia="Times New Roman" w:hAnsi="GHEA Grapalat"/>
          <w:noProof/>
          <w:sz w:val="24"/>
          <w:szCs w:val="24"/>
          <w:lang w:eastAsia="ru-RU"/>
        </w:rPr>
        <w:t>100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. </w:t>
      </w:r>
      <w:r w:rsidRPr="00605F3A">
        <w:rPr>
          <w:rFonts w:ascii="GHEA Grapalat" w:eastAsia="Times New Roman" w:hAnsi="GHEA Grapalat"/>
          <w:noProof/>
          <w:sz w:val="24"/>
          <w:szCs w:val="24"/>
          <w:lang w:eastAsia="ru-RU"/>
        </w:rPr>
        <w:t>All other technical bids are evaluated against the best rated bid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  <w:r w:rsidRPr="00605F3A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</w:p>
    <w:p w14:paraId="10DF2B2E" w14:textId="7693CC12" w:rsidR="00C65708" w:rsidRPr="00E01EC1" w:rsidRDefault="00554CDC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554CDC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Bids that do not meet the minimum requirements of the invitation are considered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inadequate</w:t>
      </w:r>
      <w:r w:rsidRPr="00554CDC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and are rejected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  <w:r w:rsidRPr="00554CDC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The bid confirmation document, which is sent to the bidders, also specifies the date, place and time of the bid opening session.</w:t>
      </w:r>
      <w:r w:rsidR="005235EF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Moreover, the bid opening session is </w:t>
      </w:r>
      <w:r w:rsidRPr="00554CDC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not earlier than within five business days following the day the Notice is sent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.</w:t>
      </w:r>
      <w:r w:rsidRPr="00554CDC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</w:p>
    <w:p w14:paraId="71D0EFE6" w14:textId="7229CD55" w:rsidR="00E24CB5" w:rsidRDefault="00E24CB5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eastAsia="ru-RU"/>
        </w:rPr>
      </w:pPr>
      <w:r w:rsidRPr="00E24CB5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The bids of the participants are evaluated as follows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:</w:t>
      </w:r>
      <w:r w:rsidRPr="00E24CB5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</w:p>
    <w:p w14:paraId="0AA513CE" w14:textId="6F468A04" w:rsidR="00C65708" w:rsidRPr="00323B61" w:rsidRDefault="00C6570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eastAsia="ru-RU"/>
        </w:rPr>
      </w:pP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lastRenderedPageBreak/>
        <w:t xml:space="preserve">1) </w:t>
      </w:r>
      <w:r w:rsidR="00E24CB5" w:rsidRPr="00E24CB5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the financial offer of the bidder submitting the minimum bid is estimated at one hundred points, and the points of the financial offer of the other bidder are calculated </w:t>
      </w:r>
      <w:r w:rsidR="00E24CB5">
        <w:rPr>
          <w:rFonts w:ascii="GHEA Grapalat" w:eastAsia="Times New Roman" w:hAnsi="GHEA Grapalat"/>
          <w:noProof/>
          <w:sz w:val="24"/>
          <w:szCs w:val="24"/>
          <w:lang w:eastAsia="ru-RU"/>
        </w:rPr>
        <w:t xml:space="preserve">with the </w:t>
      </w:r>
      <w:r w:rsidR="00E24CB5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follow</w:t>
      </w:r>
      <w:r w:rsidR="00E24CB5">
        <w:rPr>
          <w:rFonts w:ascii="GHEA Grapalat" w:eastAsia="Times New Roman" w:hAnsi="GHEA Grapalat"/>
          <w:noProof/>
          <w:sz w:val="24"/>
          <w:szCs w:val="24"/>
          <w:lang w:eastAsia="ru-RU"/>
        </w:rPr>
        <w:t>ing formula</w:t>
      </w:r>
      <w:r w:rsidR="00E24CB5" w:rsidRPr="00E24CB5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: </w:t>
      </w:r>
    </w:p>
    <w:p w14:paraId="11718558" w14:textId="77777777" w:rsidR="00323B61" w:rsidRPr="00E01EC1" w:rsidRDefault="00323B61" w:rsidP="00323B6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PP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=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MP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X 100/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EP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,</w:t>
      </w:r>
    </w:p>
    <w:p w14:paraId="4B1541A2" w14:textId="48341AAA" w:rsidR="00323B61" w:rsidRPr="0099675B" w:rsidRDefault="00323B61" w:rsidP="00323B6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Where:</w:t>
      </w:r>
    </w:p>
    <w:p w14:paraId="0983B454" w14:textId="25503BFF" w:rsidR="00323B61" w:rsidRPr="00E01EC1" w:rsidRDefault="00323B61" w:rsidP="00323B6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PP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is the point to price quotation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,</w:t>
      </w:r>
    </w:p>
    <w:p w14:paraId="1CA9B124" w14:textId="77777777" w:rsidR="00323B61" w:rsidRPr="00E01EC1" w:rsidRDefault="00323B61" w:rsidP="00323B6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MP is the minimum price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,</w:t>
      </w:r>
    </w:p>
    <w:p w14:paraId="34FD7584" w14:textId="77777777" w:rsidR="00323B61" w:rsidRPr="00E01EC1" w:rsidRDefault="00323B61" w:rsidP="00323B6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EP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Pr="0099675B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is the price offered by the evaluated participant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,</w:t>
      </w:r>
    </w:p>
    <w:p w14:paraId="7A920EB5" w14:textId="77777777" w:rsidR="00323B61" w:rsidRPr="0099675B" w:rsidRDefault="00323B61" w:rsidP="00323B6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eastAsia="ru-RU"/>
        </w:rPr>
      </w:pPr>
      <w:r w:rsidRPr="0099675B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2) </w:t>
      </w:r>
      <w:r w:rsidRPr="0099675B">
        <w:rPr>
          <w:rFonts w:ascii="GHEA Grapalat" w:eastAsia="Times New Roman" w:hAnsi="GHEA Grapalat"/>
          <w:noProof/>
          <w:sz w:val="24"/>
          <w:szCs w:val="24"/>
          <w:lang w:val="en" w:eastAsia="ru-RU"/>
        </w:rPr>
        <w:t>The score given to each technically qualified participant is calculated by the following formula:</w:t>
      </w:r>
      <w:r w:rsidRPr="0099675B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</w:p>
    <w:p w14:paraId="504B3A14" w14:textId="77777777" w:rsidR="00323B61" w:rsidRPr="00E01EC1" w:rsidRDefault="00323B61" w:rsidP="00323B6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E01EC1">
        <w:rPr>
          <w:rFonts w:eastAsia="Times New Roman" w:cs="Calibri"/>
          <w:noProof/>
          <w:sz w:val="24"/>
          <w:szCs w:val="24"/>
          <w:lang w:val="hy-AM" w:eastAsia="ru-RU"/>
        </w:rPr>
        <w:t> </w:t>
      </w:r>
    </w:p>
    <w:p w14:paraId="70FFE28F" w14:textId="16C15C87" w:rsidR="00323B61" w:rsidRPr="00E01EC1" w:rsidRDefault="00323B61" w:rsidP="00323B6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color w:val="000000"/>
          <w:sz w:val="24"/>
          <w:szCs w:val="24"/>
        </w:rPr>
        <w:t xml:space="preserve">EP 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= (</w:t>
      </w:r>
      <w:r w:rsidR="00CB1ECD">
        <w:rPr>
          <w:rFonts w:ascii="GHEA Grapalat" w:eastAsia="Times New Roman" w:hAnsi="GHEA Grapalat"/>
          <w:noProof/>
          <w:sz w:val="24"/>
          <w:szCs w:val="24"/>
          <w:lang w:eastAsia="ru-RU"/>
        </w:rPr>
        <w:t>PP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X 0.7) + (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TP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X 0.3),</w:t>
      </w:r>
    </w:p>
    <w:p w14:paraId="23A38B3A" w14:textId="77777777" w:rsidR="00323B61" w:rsidRPr="00E01EC1" w:rsidRDefault="00323B61" w:rsidP="00323B61">
      <w:pPr>
        <w:shd w:val="clear" w:color="auto" w:fill="FFFFFF"/>
        <w:spacing w:before="0" w:after="0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 w:rsidRPr="00E01EC1">
        <w:rPr>
          <w:rFonts w:eastAsia="Times New Roman" w:cs="Calibri"/>
          <w:noProof/>
          <w:color w:val="000000"/>
          <w:sz w:val="24"/>
          <w:szCs w:val="24"/>
          <w:lang w:val="hy-AM"/>
        </w:rPr>
        <w:t> </w:t>
      </w:r>
    </w:p>
    <w:p w14:paraId="5420EC89" w14:textId="77777777" w:rsidR="00323B61" w:rsidRPr="005406BE" w:rsidRDefault="00323B61" w:rsidP="00323B61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</w:rPr>
      </w:pPr>
      <w:r>
        <w:rPr>
          <w:rFonts w:eastAsia="Times New Roman" w:cs="Calibri"/>
          <w:noProof/>
          <w:color w:val="000000"/>
          <w:sz w:val="24"/>
          <w:szCs w:val="24"/>
        </w:rPr>
        <w:t>Where:</w:t>
      </w:r>
    </w:p>
    <w:p w14:paraId="0E1F3404" w14:textId="77777777" w:rsidR="00323B61" w:rsidRPr="00E01EC1" w:rsidRDefault="00323B61" w:rsidP="00323B61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/>
          <w:color w:val="000000"/>
          <w:sz w:val="24"/>
          <w:szCs w:val="24"/>
        </w:rPr>
        <w:t>EP is the evaluation to the participants</w:t>
      </w:r>
      <w:r w:rsidRPr="00E01EC1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,</w:t>
      </w:r>
    </w:p>
    <w:p w14:paraId="5E1B34AC" w14:textId="77777777" w:rsidR="00323B61" w:rsidRPr="00E01EC1" w:rsidRDefault="00323B61" w:rsidP="00323B61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PP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Pr="005406BE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is the unit bid price of the participant</w:t>
      </w:r>
      <w:r w:rsidRPr="00E01EC1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,</w:t>
      </w:r>
    </w:p>
    <w:p w14:paraId="54C0A5AA" w14:textId="77777777" w:rsidR="00323B61" w:rsidRPr="005406BE" w:rsidRDefault="00323B61" w:rsidP="00323B61">
      <w:pPr>
        <w:shd w:val="clear" w:color="auto" w:fill="FFFFFF"/>
        <w:spacing w:before="0" w:after="0" w:line="360" w:lineRule="auto"/>
        <w:ind w:left="0" w:firstLine="375"/>
        <w:rPr>
          <w:rFonts w:ascii="Arial Unicode" w:eastAsia="Times New Roman" w:hAnsi="Arial Unicode"/>
          <w:noProof/>
          <w:color w:val="000000"/>
          <w:sz w:val="21"/>
          <w:szCs w:val="21"/>
        </w:rPr>
      </w:pPr>
      <w:r>
        <w:rPr>
          <w:rFonts w:ascii="GHEA Grapalat" w:eastAsia="Times New Roman" w:hAnsi="GHEA Grapalat"/>
          <w:noProof/>
          <w:color w:val="000000"/>
          <w:sz w:val="24"/>
          <w:szCs w:val="24"/>
        </w:rPr>
        <w:t xml:space="preserve">TP - Technical proposal </w:t>
      </w:r>
      <w:r w:rsidRPr="005406BE">
        <w:rPr>
          <w:rFonts w:ascii="GHEA Grapalat" w:eastAsia="Times New Roman" w:hAnsi="GHEA Grapalat"/>
          <w:noProof/>
          <w:color w:val="000000"/>
          <w:sz w:val="24"/>
          <w:szCs w:val="24"/>
          <w:lang w:val="en"/>
        </w:rPr>
        <w:t>is the score given to the participant's technical proposal</w:t>
      </w:r>
      <w:r w:rsidRPr="00E01EC1">
        <w:rPr>
          <w:rFonts w:ascii="Arial Unicode" w:eastAsia="Times New Roman" w:hAnsi="Arial Unicode"/>
          <w:noProof/>
          <w:color w:val="000000"/>
          <w:sz w:val="21"/>
          <w:szCs w:val="21"/>
          <w:lang w:val="hy-AM"/>
        </w:rPr>
        <w:t>.</w:t>
      </w:r>
      <w:r>
        <w:rPr>
          <w:rFonts w:ascii="Arial Unicode" w:eastAsia="Times New Roman" w:hAnsi="Arial Unicode"/>
          <w:noProof/>
          <w:color w:val="000000"/>
          <w:sz w:val="21"/>
          <w:szCs w:val="21"/>
        </w:rPr>
        <w:t xml:space="preserve"> </w:t>
      </w:r>
    </w:p>
    <w:p w14:paraId="7DA05C45" w14:textId="77777777" w:rsidR="00323B61" w:rsidRPr="005406BE" w:rsidRDefault="00323B61" w:rsidP="00323B61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</w:rPr>
      </w:pPr>
      <w:r w:rsidRPr="005406BE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The selected participant is recognized as the participant with the highest score</w:t>
      </w:r>
      <w:r>
        <w:rPr>
          <w:rFonts w:ascii="GHEA Grapalat" w:eastAsia="Times New Roman" w:hAnsi="GHEA Grapalat"/>
          <w:noProof/>
          <w:color w:val="000000"/>
          <w:sz w:val="24"/>
          <w:szCs w:val="24"/>
        </w:rPr>
        <w:t>.</w:t>
      </w:r>
    </w:p>
    <w:p w14:paraId="58D8DDCB" w14:textId="1796DB8E" w:rsidR="00C65708" w:rsidRPr="00E01EC1" w:rsidRDefault="00C65708" w:rsidP="00323B6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</w:p>
    <w:sectPr w:rsidR="00C65708" w:rsidRPr="00E01EC1" w:rsidSect="009B1B17">
      <w:pgSz w:w="12240" w:h="15840"/>
      <w:pgMar w:top="567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52F"/>
    <w:multiLevelType w:val="hybridMultilevel"/>
    <w:tmpl w:val="351E3556"/>
    <w:lvl w:ilvl="0" w:tplc="64F4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665B7"/>
    <w:multiLevelType w:val="hybridMultilevel"/>
    <w:tmpl w:val="D646D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35"/>
    <w:rsid w:val="0000263D"/>
    <w:rsid w:val="00013993"/>
    <w:rsid w:val="00036F83"/>
    <w:rsid w:val="000377E4"/>
    <w:rsid w:val="00041498"/>
    <w:rsid w:val="00041DF5"/>
    <w:rsid w:val="0007090E"/>
    <w:rsid w:val="000A0215"/>
    <w:rsid w:val="000B4940"/>
    <w:rsid w:val="000F0C2E"/>
    <w:rsid w:val="00153A84"/>
    <w:rsid w:val="00163A44"/>
    <w:rsid w:val="00174350"/>
    <w:rsid w:val="0018422F"/>
    <w:rsid w:val="001D1C1C"/>
    <w:rsid w:val="002128AD"/>
    <w:rsid w:val="002234F7"/>
    <w:rsid w:val="00250C72"/>
    <w:rsid w:val="00270BD1"/>
    <w:rsid w:val="00295648"/>
    <w:rsid w:val="002A6323"/>
    <w:rsid w:val="002B059E"/>
    <w:rsid w:val="00316B08"/>
    <w:rsid w:val="00323B61"/>
    <w:rsid w:val="003605DC"/>
    <w:rsid w:val="00383BBA"/>
    <w:rsid w:val="003B7E41"/>
    <w:rsid w:val="003F411A"/>
    <w:rsid w:val="00402A6D"/>
    <w:rsid w:val="004165D6"/>
    <w:rsid w:val="004570F8"/>
    <w:rsid w:val="0047636C"/>
    <w:rsid w:val="004823C8"/>
    <w:rsid w:val="004F39E9"/>
    <w:rsid w:val="00500C5B"/>
    <w:rsid w:val="005235EF"/>
    <w:rsid w:val="00554CDC"/>
    <w:rsid w:val="00594C75"/>
    <w:rsid w:val="005B19AE"/>
    <w:rsid w:val="005B3558"/>
    <w:rsid w:val="005C2612"/>
    <w:rsid w:val="005C40D3"/>
    <w:rsid w:val="00605F3A"/>
    <w:rsid w:val="0062190D"/>
    <w:rsid w:val="006546FC"/>
    <w:rsid w:val="00672A3E"/>
    <w:rsid w:val="00673FDB"/>
    <w:rsid w:val="0068589E"/>
    <w:rsid w:val="006B0C29"/>
    <w:rsid w:val="006E0D92"/>
    <w:rsid w:val="006F5EF8"/>
    <w:rsid w:val="0070774F"/>
    <w:rsid w:val="007D7646"/>
    <w:rsid w:val="00805446"/>
    <w:rsid w:val="0081420B"/>
    <w:rsid w:val="00845D35"/>
    <w:rsid w:val="008578B4"/>
    <w:rsid w:val="00876A6D"/>
    <w:rsid w:val="008827D7"/>
    <w:rsid w:val="008C3402"/>
    <w:rsid w:val="008E493A"/>
    <w:rsid w:val="00917E49"/>
    <w:rsid w:val="009B1B17"/>
    <w:rsid w:val="009B4BDC"/>
    <w:rsid w:val="009B5EDC"/>
    <w:rsid w:val="009C529E"/>
    <w:rsid w:val="009D2E69"/>
    <w:rsid w:val="00A118CC"/>
    <w:rsid w:val="00A17885"/>
    <w:rsid w:val="00A224B3"/>
    <w:rsid w:val="00A23E3D"/>
    <w:rsid w:val="00A306F5"/>
    <w:rsid w:val="00A70954"/>
    <w:rsid w:val="00AC317F"/>
    <w:rsid w:val="00AD664F"/>
    <w:rsid w:val="00AD6DF4"/>
    <w:rsid w:val="00AF446C"/>
    <w:rsid w:val="00AF7853"/>
    <w:rsid w:val="00B019A1"/>
    <w:rsid w:val="00B06628"/>
    <w:rsid w:val="00B27C8E"/>
    <w:rsid w:val="00B51667"/>
    <w:rsid w:val="00B67A61"/>
    <w:rsid w:val="00B77197"/>
    <w:rsid w:val="00B80738"/>
    <w:rsid w:val="00BF356E"/>
    <w:rsid w:val="00C022EF"/>
    <w:rsid w:val="00C16B7D"/>
    <w:rsid w:val="00C22570"/>
    <w:rsid w:val="00C36EB8"/>
    <w:rsid w:val="00C56AAC"/>
    <w:rsid w:val="00C65708"/>
    <w:rsid w:val="00C76073"/>
    <w:rsid w:val="00C77DBB"/>
    <w:rsid w:val="00C81239"/>
    <w:rsid w:val="00CB1ECD"/>
    <w:rsid w:val="00CB6C26"/>
    <w:rsid w:val="00CC5240"/>
    <w:rsid w:val="00CF1F70"/>
    <w:rsid w:val="00D764F0"/>
    <w:rsid w:val="00D80E43"/>
    <w:rsid w:val="00D91D3E"/>
    <w:rsid w:val="00D97413"/>
    <w:rsid w:val="00DD2335"/>
    <w:rsid w:val="00E01EC1"/>
    <w:rsid w:val="00E24CB5"/>
    <w:rsid w:val="00E41BCF"/>
    <w:rsid w:val="00E5553A"/>
    <w:rsid w:val="00E922FF"/>
    <w:rsid w:val="00E958E8"/>
    <w:rsid w:val="00E97232"/>
    <w:rsid w:val="00EE2309"/>
    <w:rsid w:val="00EF5FE3"/>
    <w:rsid w:val="00F041AC"/>
    <w:rsid w:val="00F30214"/>
    <w:rsid w:val="00F87A87"/>
    <w:rsid w:val="00FB097B"/>
    <w:rsid w:val="00FB31A6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9E9F"/>
  <w15:docId w15:val="{728210E3-8C04-47D3-84D0-DFD1A22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8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27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nhideWhenUsed/>
    <w:rsid w:val="00B27C8E"/>
    <w:rPr>
      <w:color w:val="0000FF"/>
      <w:u w:val="single"/>
    </w:rPr>
  </w:style>
  <w:style w:type="paragraph" w:styleId="NoSpacing">
    <w:name w:val="No Spacing"/>
    <w:uiPriority w:val="1"/>
    <w:qFormat/>
    <w:rsid w:val="00B27C8E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605DC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basedOn w:val="DefaultParagraphFont"/>
    <w:link w:val="BodyText"/>
    <w:rsid w:val="003605DC"/>
    <w:rPr>
      <w:rFonts w:ascii="Arial Armenian" w:eastAsia="Times New Roman" w:hAnsi="Arial Armenian" w:cs="Times New Roman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C16B7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954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B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9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65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curemen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https:/mul2-minfin.gov.am/tasks/118369/oneclick/grutyun_HK.docx?token=8a2bbdbd447dfce4dceb5ec6b23b7238</cp:keywords>
  <cp:lastModifiedBy>Gor Hakobyan</cp:lastModifiedBy>
  <cp:revision>36</cp:revision>
  <dcterms:created xsi:type="dcterms:W3CDTF">2020-02-18T07:00:00Z</dcterms:created>
  <dcterms:modified xsi:type="dcterms:W3CDTF">2020-02-28T13:26:00Z</dcterms:modified>
</cp:coreProperties>
</file>